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8E5C3"/>
    <w:p w14:paraId="580C101C"/>
    <w:p w14:paraId="573CB1E9"/>
    <w:p w14:paraId="4B2CA2CE">
      <w:r>
        <w:t xml:space="preserve"> </w:t>
      </w:r>
    </w:p>
    <w:p w14:paraId="1B7657B9">
      <w:pPr>
        <w:spacing w:line="360" w:lineRule="auto"/>
        <w:jc w:val="center"/>
        <w:rPr>
          <w:rFonts w:ascii="宋体" w:hAnsi="宋体"/>
          <w:b/>
          <w:sz w:val="72"/>
          <w:szCs w:val="72"/>
        </w:rPr>
      </w:pPr>
      <w:r>
        <w:rPr>
          <w:rFonts w:hint="eastAsia" w:ascii="宋体" w:hAnsi="宋体"/>
          <w:b/>
          <w:sz w:val="72"/>
          <w:szCs w:val="72"/>
        </w:rPr>
        <w:drawing>
          <wp:inline distT="0" distB="0" distL="0" distR="0">
            <wp:extent cx="1549400" cy="1549400"/>
            <wp:effectExtent l="19050" t="0" r="0" b="0"/>
            <wp:docPr id="9" name="图片 2" descr="大二医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大二医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154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81E616">
      <w:pPr>
        <w:spacing w:line="360" w:lineRule="auto"/>
        <w:jc w:val="center"/>
        <w:rPr>
          <w:rFonts w:ascii="宋体" w:hAnsi="宋体"/>
          <w:b/>
          <w:sz w:val="72"/>
          <w:szCs w:val="72"/>
        </w:rPr>
      </w:pPr>
      <w:r>
        <w:rPr>
          <w:rFonts w:hint="eastAsia" w:ascii="宋体" w:hAnsi="宋体"/>
          <w:b/>
          <w:sz w:val="72"/>
          <w:szCs w:val="72"/>
        </w:rPr>
        <w:t>大邑县第二人民医院</w:t>
      </w:r>
    </w:p>
    <w:p w14:paraId="2E35DE1E">
      <w:pPr>
        <w:spacing w:line="300" w:lineRule="auto"/>
        <w:jc w:val="center"/>
        <w:rPr>
          <w:rFonts w:eastAsia="华文中宋"/>
          <w:sz w:val="44"/>
          <w:szCs w:val="44"/>
        </w:rPr>
      </w:pPr>
    </w:p>
    <w:p w14:paraId="4D1F90A0">
      <w:pPr>
        <w:spacing w:line="300" w:lineRule="auto"/>
        <w:jc w:val="center"/>
        <w:rPr>
          <w:rFonts w:eastAsia="华文中宋"/>
          <w:sz w:val="44"/>
          <w:szCs w:val="44"/>
        </w:rPr>
      </w:pPr>
    </w:p>
    <w:p w14:paraId="39B2BB96">
      <w:pPr>
        <w:spacing w:line="360" w:lineRule="auto"/>
        <w:jc w:val="center"/>
        <w:rPr>
          <w:rFonts w:hint="eastAsia" w:ascii="楷体_GB2312" w:hAnsi="宋体" w:eastAsia="楷体_GB2312"/>
          <w:spacing w:val="40"/>
          <w:sz w:val="52"/>
          <w:szCs w:val="52"/>
          <w:u w:val="single"/>
          <w:lang w:eastAsia="zh-CN"/>
        </w:rPr>
      </w:pPr>
      <w:r>
        <w:rPr>
          <w:rFonts w:hint="eastAsia" w:ascii="楷体_GB2312" w:hAnsi="宋体" w:eastAsia="楷体_GB2312"/>
          <w:spacing w:val="40"/>
          <w:sz w:val="52"/>
          <w:szCs w:val="52"/>
          <w:u w:val="single"/>
        </w:rPr>
        <w:t>中药饮片及中药配方颗粒</w:t>
      </w:r>
      <w:r>
        <w:rPr>
          <w:rFonts w:hint="eastAsia" w:ascii="楷体_GB2312" w:hAnsi="宋体" w:eastAsia="楷体_GB2312"/>
          <w:spacing w:val="40"/>
          <w:sz w:val="52"/>
          <w:szCs w:val="52"/>
          <w:u w:val="single"/>
          <w:lang w:eastAsia="zh-CN"/>
        </w:rPr>
        <w:t>项目</w:t>
      </w:r>
    </w:p>
    <w:p w14:paraId="6D033FF6">
      <w:pPr>
        <w:spacing w:line="360" w:lineRule="auto"/>
        <w:jc w:val="center"/>
        <w:rPr>
          <w:rFonts w:hint="eastAsia" w:ascii="楷体_GB2312" w:hAnsi="宋体" w:eastAsia="楷体_GB2312"/>
          <w:spacing w:val="40"/>
          <w:sz w:val="84"/>
          <w:szCs w:val="84"/>
        </w:rPr>
      </w:pPr>
      <w:r>
        <w:rPr>
          <w:rFonts w:hint="eastAsia" w:ascii="楷体_GB2312" w:hAnsi="宋体" w:eastAsia="楷体_GB2312"/>
          <w:spacing w:val="40"/>
          <w:sz w:val="84"/>
          <w:szCs w:val="84"/>
        </w:rPr>
        <w:t>市场调研</w:t>
      </w:r>
    </w:p>
    <w:p w14:paraId="1AA58568">
      <w:pPr>
        <w:spacing w:line="300" w:lineRule="auto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</w:t>
      </w:r>
    </w:p>
    <w:p w14:paraId="5815B109">
      <w:pPr>
        <w:pStyle w:val="2"/>
      </w:pPr>
    </w:p>
    <w:p w14:paraId="0E95D134">
      <w:pPr>
        <w:spacing w:line="300" w:lineRule="auto"/>
        <w:ind w:right="1226" w:rightChars="584"/>
        <w:jc w:val="center"/>
        <w:rPr>
          <w:sz w:val="30"/>
          <w:szCs w:val="30"/>
        </w:rPr>
      </w:pPr>
    </w:p>
    <w:p w14:paraId="5F9C369A">
      <w:pPr>
        <w:spacing w:line="360" w:lineRule="auto"/>
        <w:ind w:right="1226" w:rightChars="584" w:firstLine="790" w:firstLineChars="246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公    司：</w:t>
      </w:r>
      <w:r>
        <w:rPr>
          <w:rFonts w:hint="eastAsia"/>
          <w:b/>
          <w:bCs/>
          <w:sz w:val="32"/>
          <w:szCs w:val="32"/>
          <w:u w:val="single"/>
        </w:rPr>
        <w:t xml:space="preserve">  </w:t>
      </w:r>
      <w:r>
        <w:rPr>
          <w:rFonts w:hint="eastAsia"/>
          <w:bCs/>
          <w:sz w:val="32"/>
          <w:szCs w:val="32"/>
          <w:u w:val="single"/>
        </w:rPr>
        <w:t xml:space="preserve"> </w:t>
      </w:r>
      <w:r>
        <w:rPr>
          <w:bCs/>
          <w:sz w:val="32"/>
          <w:szCs w:val="32"/>
          <w:u w:val="single"/>
        </w:rPr>
        <w:t xml:space="preserve">   </w:t>
      </w:r>
      <w:r>
        <w:rPr>
          <w:rFonts w:hint="eastAsia"/>
          <w:bCs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</w:rPr>
        <w:t xml:space="preserve"> </w:t>
      </w:r>
      <w:r>
        <w:rPr>
          <w:rFonts w:hint="eastAsia"/>
          <w:bCs/>
          <w:sz w:val="32"/>
          <w:szCs w:val="32"/>
          <w:u w:val="single"/>
        </w:rPr>
        <w:t xml:space="preserve">                         </w:t>
      </w:r>
    </w:p>
    <w:p w14:paraId="59F2D281">
      <w:pPr>
        <w:spacing w:line="360" w:lineRule="auto"/>
        <w:ind w:right="1226" w:rightChars="584" w:firstLine="790" w:firstLineChars="246"/>
        <w:rPr>
          <w:rFonts w:ascii="宋体" w:hAnsi="宋体"/>
          <w:bCs/>
          <w:sz w:val="24"/>
          <w:u w:val="single"/>
        </w:rPr>
      </w:pPr>
      <w:r>
        <w:rPr>
          <w:rFonts w:hint="eastAsia"/>
          <w:b/>
          <w:bCs/>
          <w:sz w:val="32"/>
          <w:szCs w:val="32"/>
        </w:rPr>
        <w:t>责 任 人：</w:t>
      </w:r>
      <w:r>
        <w:rPr>
          <w:rFonts w:hint="eastAsia"/>
          <w:b/>
          <w:bCs/>
          <w:sz w:val="32"/>
          <w:szCs w:val="32"/>
          <w:u w:val="single"/>
        </w:rPr>
        <w:t xml:space="preserve"> </w:t>
      </w:r>
      <w:r>
        <w:rPr>
          <w:b/>
          <w:bCs/>
          <w:sz w:val="32"/>
          <w:szCs w:val="32"/>
          <w:u w:val="single"/>
        </w:rPr>
        <w:t xml:space="preserve">   </w:t>
      </w:r>
      <w:r>
        <w:rPr>
          <w:rFonts w:hint="eastAsia"/>
          <w:b/>
          <w:bCs/>
          <w:sz w:val="32"/>
          <w:szCs w:val="32"/>
          <w:u w:val="single"/>
        </w:rPr>
        <w:t xml:space="preserve">        </w:t>
      </w:r>
      <w:r>
        <w:rPr>
          <w:rFonts w:hint="eastAsia" w:ascii="宋体" w:hAnsi="宋体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宋体" w:hAnsi="宋体"/>
          <w:bCs/>
          <w:sz w:val="24"/>
          <w:u w:val="single"/>
        </w:rPr>
        <w:t xml:space="preserve"> </w:t>
      </w:r>
    </w:p>
    <w:p w14:paraId="1ED62115">
      <w:pPr>
        <w:spacing w:line="360" w:lineRule="auto"/>
        <w:ind w:right="1226" w:rightChars="584" w:firstLine="790" w:firstLineChars="246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联系电话：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</w:t>
      </w:r>
    </w:p>
    <w:p w14:paraId="6D2F566A">
      <w:pPr>
        <w:tabs>
          <w:tab w:val="left" w:pos="1470"/>
        </w:tabs>
        <w:spacing w:line="360" w:lineRule="auto"/>
        <w:ind w:right="1226" w:rightChars="584" w:firstLine="790" w:firstLineChars="246"/>
        <w:rPr>
          <w:rFonts w:hint="eastAsia"/>
          <w:sz w:val="32"/>
          <w:szCs w:val="32"/>
          <w:u w:val="single"/>
        </w:rPr>
      </w:pPr>
      <w:r>
        <w:rPr>
          <w:rFonts w:hint="eastAsia"/>
          <w:b/>
          <w:bCs/>
          <w:sz w:val="32"/>
          <w:szCs w:val="32"/>
        </w:rPr>
        <w:t>时    间</w:t>
      </w:r>
      <w:r>
        <w:rPr>
          <w:rFonts w:hint="eastAsia"/>
          <w:sz w:val="32"/>
          <w:szCs w:val="32"/>
        </w:rPr>
        <w:t>：</w:t>
      </w:r>
      <w:r>
        <w:rPr>
          <w:rFonts w:hint="eastAsia"/>
          <w:b/>
          <w:bCs/>
          <w:sz w:val="32"/>
          <w:szCs w:val="32"/>
          <w:u w:val="single"/>
        </w:rPr>
        <w:t xml:space="preserve">     </w:t>
      </w:r>
      <w:r>
        <w:rPr>
          <w:b/>
          <w:bCs/>
          <w:sz w:val="32"/>
          <w:szCs w:val="32"/>
          <w:u w:val="single"/>
        </w:rPr>
        <w:t xml:space="preserve"> </w:t>
      </w:r>
      <w:r>
        <w:rPr>
          <w:rFonts w:hint="eastAsia"/>
          <w:b/>
          <w:bCs/>
          <w:sz w:val="32"/>
          <w:szCs w:val="32"/>
          <w:u w:val="single"/>
        </w:rPr>
        <w:t xml:space="preserve">  2026年  月  日       </w:t>
      </w:r>
      <w:r>
        <w:rPr>
          <w:rFonts w:hint="eastAsia"/>
          <w:sz w:val="32"/>
          <w:szCs w:val="32"/>
          <w:u w:val="single"/>
        </w:rPr>
        <w:t xml:space="preserve">  </w:t>
      </w:r>
    </w:p>
    <w:p w14:paraId="4B2EE030">
      <w:pPr>
        <w:tabs>
          <w:tab w:val="left" w:pos="1470"/>
        </w:tabs>
        <w:spacing w:line="360" w:lineRule="auto"/>
        <w:ind w:right="1226" w:rightChars="584" w:firstLine="787" w:firstLineChars="246"/>
        <w:rPr>
          <w:rFonts w:hint="eastAsia"/>
          <w:sz w:val="32"/>
          <w:szCs w:val="32"/>
          <w:u w:val="single"/>
        </w:rPr>
      </w:pPr>
    </w:p>
    <w:p w14:paraId="4E035273">
      <w:pPr>
        <w:tabs>
          <w:tab w:val="left" w:pos="1470"/>
        </w:tabs>
        <w:spacing w:line="360" w:lineRule="auto"/>
        <w:ind w:right="1226" w:rightChars="584" w:firstLine="787" w:firstLineChars="246"/>
        <w:rPr>
          <w:rFonts w:hint="eastAsia"/>
          <w:sz w:val="32"/>
          <w:szCs w:val="32"/>
          <w:u w:val="single"/>
        </w:rPr>
      </w:pPr>
      <w:bookmarkStart w:id="0" w:name="_GoBack"/>
      <w:bookmarkEnd w:id="0"/>
    </w:p>
    <w:p w14:paraId="207ECDB9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一、项目概况</w:t>
      </w:r>
    </w:p>
    <w:p w14:paraId="4E27609A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项目名称：中药饮片及中药配方颗粒项目</w:t>
      </w:r>
    </w:p>
    <w:p w14:paraId="6DEB27A5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项目分包：本项目分为2个独立包</w:t>
      </w:r>
    </w:p>
    <w:p w14:paraId="6EB19581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包 1：中药饮片项目</w:t>
      </w:r>
    </w:p>
    <w:p w14:paraId="5FAE7506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包 2：中药配方颗粒项目</w:t>
      </w:r>
    </w:p>
    <w:p w14:paraId="131B590E">
      <w:pPr>
        <w:ind w:left="1600" w:hanging="1600" w:hanging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服务期限：合同签订后1年；或实际结算金额达到采购预算金额时自动终止（两者以孰先达到为准）</w:t>
      </w:r>
    </w:p>
    <w:p w14:paraId="6ED5F1AD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服务地点：大邑县第二人民医院</w:t>
      </w:r>
    </w:p>
    <w:p w14:paraId="4E6A72BD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结算方式：按月据实结算，按实际供货数量与中标单价核算</w:t>
      </w:r>
    </w:p>
    <w:p w14:paraId="31624CAA">
      <w:pPr>
        <w:pStyle w:val="6"/>
      </w:pPr>
      <w:r>
        <w:rPr>
          <w:rFonts w:hint="eastAsia" w:ascii="仿宋" w:hAnsi="仿宋" w:eastAsia="仿宋"/>
          <w:sz w:val="32"/>
          <w:szCs w:val="32"/>
        </w:rPr>
        <w:t>报价方式：</w:t>
      </w:r>
      <w:r>
        <w:t xml:space="preserve"> </w:t>
      </w:r>
      <w:r>
        <w:rPr>
          <w:rFonts w:ascii="仿宋" w:hAnsi="仿宋" w:eastAsia="仿宋"/>
          <w:sz w:val="32"/>
          <w:szCs w:val="32"/>
        </w:rPr>
        <w:t>投标人须按包分别报价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ascii="仿宋" w:hAnsi="仿宋" w:eastAsia="仿宋"/>
          <w:sz w:val="32"/>
          <w:szCs w:val="32"/>
        </w:rPr>
        <w:t>本报价为</w:t>
      </w:r>
      <w:r>
        <w:rPr>
          <w:rFonts w:hint="eastAsia" w:ascii="仿宋" w:hAnsi="仿宋" w:eastAsia="仿宋"/>
          <w:sz w:val="32"/>
          <w:szCs w:val="32"/>
          <w:lang w:eastAsia="zh-CN"/>
        </w:rPr>
        <w:t>全包价，</w:t>
      </w:r>
      <w:r>
        <w:rPr>
          <w:rFonts w:ascii="仿宋" w:hAnsi="仿宋" w:eastAsia="仿宋"/>
          <w:sz w:val="32"/>
          <w:szCs w:val="32"/>
        </w:rPr>
        <w:t>包含货物、配送、税费等所有费用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A346DC1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二、项目内容</w:t>
      </w:r>
    </w:p>
    <w:p w14:paraId="4F7AF7E0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包 1：中药饮片项目</w:t>
      </w:r>
    </w:p>
    <w:p w14:paraId="479AD1CA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1、全品类中药饮片供应，含常规饮片、毒性饮片、麻醉药品管理饮片、珍稀野生动物类合规药材，满足临床调剂、代煎、临方加工需求。</w:t>
      </w:r>
    </w:p>
    <w:p w14:paraId="4C61C8CD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2、专车专人定点配送、多规格包装、全链条溯源、质量检测、留样管理、效期管控、退换货、售后响应、中医药文化科普协助等配套服务。</w:t>
      </w:r>
    </w:p>
    <w:p w14:paraId="52299911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包2：中药配方颗粒项目</w:t>
      </w:r>
    </w:p>
    <w:p w14:paraId="01CAE0A8">
      <w:pPr>
        <w:ind w:firstLine="640" w:firstLineChars="200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1、符合国家标准、四川省药品标准的中药配方颗粒供应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38FCBA6A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2、智能药房建设（设备使用权提供、安装、季度维保升级、HIS系统对接）、调剂耗材供应、处方自动化调剂、库存管理、效期管控、售后退换、中医药文化宣传协助等配套服务。</w:t>
      </w:r>
    </w:p>
    <w:p w14:paraId="47189E85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</w:t>
      </w:r>
      <w:r>
        <w:rPr>
          <w:rFonts w:hint="eastAsia" w:ascii="仿宋" w:hAnsi="仿宋" w:eastAsia="仿宋"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>项目要求</w:t>
      </w:r>
    </w:p>
    <w:p w14:paraId="1141E37D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（一）、质量要求</w:t>
      </w:r>
    </w:p>
    <w:p w14:paraId="4B46E7A6"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包1：中药饮片</w:t>
      </w:r>
      <w:r>
        <w:rPr>
          <w:rFonts w:hint="eastAsia" w:ascii="仿宋" w:hAnsi="仿宋" w:eastAsia="仿宋"/>
          <w:sz w:val="32"/>
          <w:szCs w:val="32"/>
          <w:lang w:eastAsia="zh-CN"/>
        </w:rPr>
        <w:t>项目</w:t>
      </w:r>
    </w:p>
    <w:p w14:paraId="6030AFFB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执行《中华人民共和国药品管理法》《药品生产质量管理规范（2010年修订）》《中华人民共和国药典》《国家中药饮片炮制规范》《四川省中药材标准》《四川省中药饮片炮制规范》等现行标准，标准更新按新规执行。</w:t>
      </w:r>
    </w:p>
    <w:p w14:paraId="1C00721C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2、包装标签符合《中药饮片标签管理规定》，内外标签完整标注产品属性、品名、规格、产地、生产企业、批号、生产日期、保质期、执行标准、质量合格标志、追溯码等。</w:t>
      </w:r>
    </w:p>
    <w:p w14:paraId="27100661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3、异形片、药屑杂质、破碎片比例符合《中药饮片质量标准通则（试行）》；无霉变、虫蛀、变色、走油、酸败；有效成分、水分、灰分、重金属、农残、二氧化硫等符合标准。</w:t>
      </w:r>
    </w:p>
    <w:p w14:paraId="5D6A3FBC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4、批准文号管理品种提供批件；特殊标识品种提供最小包装专用标识及佐证；毒性、麻醉、珍稀药材符合专项法规。</w:t>
      </w:r>
    </w:p>
    <w:p w14:paraId="1961828A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5、建立中药材种植、采收、加工、生产、销售全过程追溯体系，溯源码标注于内外标签，信息完整可查可下载。</w:t>
      </w:r>
    </w:p>
    <w:p w14:paraId="0C8DA497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6、投标人或生产企业具备标本室、留样室；自有检测实验室（含有效成分、挥发油、薄层鉴别、水分、重金属、33 项农残、微生物、黄曲霉素、二氧化硫检测）或委托 CNAS/CMA 认证第三方实验室，检测费含在报价内。</w:t>
      </w:r>
    </w:p>
    <w:p w14:paraId="5CB1D70C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7、每批次随货提供送货清单、合格标识、质检报告；质量问题3天内退换，临床抽检不合格承担全部费用与责任。</w:t>
      </w:r>
    </w:p>
    <w:p w14:paraId="5AF66F1D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包2：中药配方颗粒</w:t>
      </w:r>
      <w:r>
        <w:rPr>
          <w:rFonts w:hint="eastAsia" w:ascii="仿宋" w:hAnsi="仿宋" w:eastAsia="仿宋"/>
          <w:sz w:val="32"/>
          <w:szCs w:val="32"/>
          <w:lang w:eastAsia="zh-CN"/>
        </w:rPr>
        <w:t>项目</w:t>
      </w:r>
    </w:p>
    <w:p w14:paraId="479E602D">
      <w:pPr>
        <w:ind w:firstLine="640" w:firstLineChars="200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1、优先执行国家标准，无国标执行四川省药品标准；国标实施后同品种省标废止；省外企业备案信息与国家药监局公示一致</w:t>
      </w:r>
      <w:r>
        <w:rPr>
          <w:rFonts w:hint="eastAsia" w:ascii="仿宋" w:hAnsi="仿宋" w:eastAsia="仿宋"/>
          <w:color w:val="FF0000"/>
          <w:sz w:val="32"/>
          <w:szCs w:val="32"/>
        </w:rPr>
        <w:t>。</w:t>
      </w:r>
    </w:p>
    <w:p w14:paraId="40FACE53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2、生产企业具备完整内控标准、质检实验室、标本室 、留样室；每批次提供省市级或企业自检报告，签订质量保证协议书。</w:t>
      </w:r>
    </w:p>
    <w:p w14:paraId="60C39A7E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3、调剂设备符合JB/T20207-2024行业标准；包装材料符合药典及药包材国标，包装严密、标签信息齐全。</w:t>
      </w:r>
    </w:p>
    <w:p w14:paraId="2D52050F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4、智能药房设备1周内安装，季度维保升级；具备用量换算、处方审查、定位显示、颗粒识别、多工位、自动封装、库存报警、多厂家兼容等功能。</w:t>
      </w:r>
    </w:p>
    <w:p w14:paraId="1CB3B083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5、软硬件系统与HIS对接，免费提供药盒、药袋、标签、封口膜等耗材；调剂安全无交叉污染。</w:t>
      </w:r>
    </w:p>
    <w:p w14:paraId="1453EC85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（二）配送服务要求</w:t>
      </w:r>
    </w:p>
    <w:p w14:paraId="75BEF981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包1：中药饮片</w:t>
      </w:r>
      <w:r>
        <w:rPr>
          <w:rFonts w:hint="eastAsia" w:ascii="仿宋" w:hAnsi="仿宋" w:eastAsia="仿宋"/>
          <w:sz w:val="32"/>
          <w:szCs w:val="32"/>
          <w:lang w:eastAsia="zh-CN"/>
        </w:rPr>
        <w:t>项目</w:t>
      </w:r>
    </w:p>
    <w:p w14:paraId="6CAE290D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1、配备≥2辆配送货车，≥3名配送人员（含≥2名驾驶员），无犯罪史、无吸毒史。</w:t>
      </w:r>
    </w:p>
    <w:p w14:paraId="2E497730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2、专车专人定点配送，按要求堆放；按需提供多包装规格；配送不及时造成医疗事件承担全部赔偿责任。</w:t>
      </w:r>
    </w:p>
    <w:p w14:paraId="04BDB969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3、常规订单48小时送达、应急药品4小时送达；临期3个月通知更换，失效前1个月完成更换；未标保质期超1年可退换；每半年提交内部质量控制分析报告。</w:t>
      </w:r>
    </w:p>
    <w:p w14:paraId="68E275E2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包 2：中药配方颗粒</w:t>
      </w:r>
      <w:r>
        <w:rPr>
          <w:rFonts w:hint="eastAsia" w:ascii="仿宋" w:hAnsi="仿宋" w:eastAsia="仿宋"/>
          <w:sz w:val="32"/>
          <w:szCs w:val="32"/>
          <w:lang w:eastAsia="zh-CN"/>
        </w:rPr>
        <w:t>项目</w:t>
      </w:r>
    </w:p>
    <w:p w14:paraId="543B02C2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1、配备≥2辆配送货车，≥2名配送人员（含≥1名驾驶员）。</w:t>
      </w:r>
    </w:p>
    <w:p w14:paraId="586BE41D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2、发货前全项检验；持续稳定供货，不得以无货、量少等理由拒绝执行采购计划。</w:t>
      </w:r>
    </w:p>
    <w:p w14:paraId="561F374C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3、常规订单48小时送达、应急药品4小时送达；到货剩余有效期≥2/3，库存效期不足6个月无条件更换；省标换国标后按新标准执行，合同期不涨价。</w:t>
      </w:r>
    </w:p>
    <w:p w14:paraId="6F55FB19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（三）售后服务要求</w:t>
      </w:r>
    </w:p>
    <w:p w14:paraId="2D7A4CC5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1、质量问题2小时内响应到场，24小时内完成退换，承担全部费用、赔偿及纠纷处理责任。</w:t>
      </w:r>
    </w:p>
    <w:p w14:paraId="5E94AFA6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2、每包配备≥1名专职售后服务人员（非配送、调剂、驻场人员），无犯罪史、无吸毒史；未经采购人同意不得更换。</w:t>
      </w:r>
    </w:p>
    <w:p w14:paraId="0269FC4B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（四）验收与违约责任</w:t>
      </w:r>
    </w:p>
    <w:p w14:paraId="64AC81DB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1、每次配送后3个工作日内由中药学专业人员、内审人员验收；不合格3天内更换，同品种3次不合格可终止合同。</w:t>
      </w:r>
    </w:p>
    <w:p w14:paraId="6DB316F6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2、单方无故解约支付合同暂定总额20%违约金；质量不合格、逾期供货、拒绝供货等按合同约定承担违约金及损失赔偿；争议由采购人所在地法院管辖。</w:t>
      </w:r>
    </w:p>
    <w:p w14:paraId="22690B18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（五）其他要求</w:t>
      </w:r>
    </w:p>
    <w:p w14:paraId="12C1D731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、永久保密处方、患者信息及商业秘密；承担知识产权侵权全部责任。</w:t>
      </w:r>
    </w:p>
    <w:p w14:paraId="05E6FA0F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、协助开展中医药文化宣传、科普服务。</w:t>
      </w:r>
    </w:p>
    <w:p w14:paraId="53842293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四、供应商资格条件</w:t>
      </w:r>
    </w:p>
    <w:p w14:paraId="2B9A4453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1、具有独立承担民事责任能力，持有合法有效的营业执照、药品生产或经营许可证及相关GMP/GSP认证。</w:t>
      </w:r>
    </w:p>
    <w:p w14:paraId="7CDB7E21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2、具备履行合同所需的生产或经营、质量控制、配送、售后及检测、智能药房建设能力。</w:t>
      </w:r>
    </w:p>
    <w:p w14:paraId="7E3E0436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3、近年无重大违法违规、无药品质量不良记录、无重大安全责任事故。</w:t>
      </w:r>
    </w:p>
    <w:p w14:paraId="4A0911FF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4、具有良好商业信誉、健全财务制度，依法纳税与缴纳社保。</w:t>
      </w:r>
    </w:p>
    <w:p w14:paraId="100591AB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5、本项目不接受联合体参与，不允许分包、转包。</w:t>
      </w:r>
    </w:p>
    <w:p w14:paraId="37278A94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五、其他要求</w:t>
      </w:r>
    </w:p>
    <w:p w14:paraId="09E199C6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本调研为市场价格摸底，非正式招标，调研报价仅作采购人参考</w:t>
      </w:r>
      <w:r>
        <w:rPr>
          <w:rFonts w:hint="eastAsia" w:ascii="仿宋" w:hAnsi="仿宋" w:eastAsia="仿宋"/>
          <w:sz w:val="32"/>
          <w:szCs w:val="32"/>
        </w:rPr>
        <w:t>，调研结果不代表最终采购承诺</w:t>
      </w:r>
    </w:p>
    <w:p w14:paraId="1822250D">
      <w:pPr>
        <w:jc w:val="center"/>
        <w:rPr>
          <w:rFonts w:ascii="黑体" w:hAnsi="黑体" w:eastAsia="黑体" w:cs="黑体"/>
          <w:sz w:val="48"/>
          <w:szCs w:val="48"/>
        </w:rPr>
      </w:pPr>
    </w:p>
    <w:p w14:paraId="1789B540">
      <w:pPr>
        <w:jc w:val="center"/>
        <w:rPr>
          <w:rFonts w:ascii="黑体" w:hAnsi="黑体" w:eastAsia="黑体" w:cs="黑体"/>
          <w:sz w:val="48"/>
          <w:szCs w:val="48"/>
        </w:rPr>
      </w:pPr>
    </w:p>
    <w:p w14:paraId="3A684A80">
      <w:pPr>
        <w:jc w:val="center"/>
        <w:rPr>
          <w:rFonts w:hint="eastAsia" w:ascii="黑体" w:hAnsi="黑体" w:eastAsia="黑体" w:cs="黑体"/>
          <w:sz w:val="48"/>
          <w:szCs w:val="48"/>
        </w:rPr>
      </w:pPr>
    </w:p>
    <w:p w14:paraId="33851B2B">
      <w:pPr>
        <w:jc w:val="both"/>
        <w:rPr>
          <w:rFonts w:hint="eastAsia" w:ascii="黑体" w:hAnsi="黑体" w:eastAsia="黑体" w:cs="黑体"/>
          <w:sz w:val="48"/>
          <w:szCs w:val="48"/>
        </w:rPr>
      </w:pPr>
    </w:p>
    <w:p w14:paraId="1AD6AEDE">
      <w:pPr>
        <w:jc w:val="center"/>
        <w:rPr>
          <w:rFonts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</w:rPr>
        <w:t>大邑县第二人民医院</w:t>
      </w:r>
    </w:p>
    <w:p w14:paraId="1E3F8218">
      <w:pPr>
        <w:jc w:val="center"/>
        <w:rPr>
          <w:rFonts w:ascii="黑体" w:hAnsi="黑体" w:eastAsia="黑体" w:cs="黑体"/>
          <w:sz w:val="48"/>
          <w:szCs w:val="48"/>
        </w:rPr>
      </w:pPr>
    </w:p>
    <w:p w14:paraId="46369779">
      <w:pPr>
        <w:jc w:val="center"/>
        <w:rPr>
          <w:rFonts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</w:rPr>
        <w:t>关于“XXXX”项目</w:t>
      </w:r>
    </w:p>
    <w:p w14:paraId="2D937476">
      <w:pPr>
        <w:jc w:val="center"/>
        <w:rPr>
          <w:rFonts w:ascii="黑体" w:hAnsi="黑体" w:eastAsia="黑体" w:cs="黑体"/>
          <w:sz w:val="48"/>
          <w:szCs w:val="48"/>
        </w:rPr>
      </w:pPr>
    </w:p>
    <w:p w14:paraId="730D5364">
      <w:pPr>
        <w:jc w:val="center"/>
        <w:rPr>
          <w:rFonts w:ascii="黑体" w:hAnsi="黑体" w:eastAsia="黑体" w:cs="黑体"/>
          <w:sz w:val="48"/>
          <w:szCs w:val="48"/>
        </w:rPr>
      </w:pPr>
    </w:p>
    <w:p w14:paraId="1BE4FB74">
      <w:pPr>
        <w:jc w:val="left"/>
        <w:rPr>
          <w:rFonts w:ascii="楷体" w:hAnsi="楷体" w:eastAsia="楷体" w:cs="楷体"/>
          <w:sz w:val="30"/>
          <w:szCs w:val="30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2225"/>
        <w:gridCol w:w="2325"/>
        <w:gridCol w:w="1217"/>
        <w:gridCol w:w="1203"/>
      </w:tblGrid>
      <w:tr w14:paraId="2478C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9" w:type="dxa"/>
          </w:tcPr>
          <w:p w14:paraId="03F02F4F">
            <w:pPr>
              <w:jc w:val="center"/>
              <w:rPr>
                <w:rFonts w:ascii="楷体" w:hAnsi="楷体" w:eastAsia="楷体" w:cs="楷体"/>
                <w:sz w:val="30"/>
                <w:szCs w:val="30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</w:rPr>
              <w:t>序号</w:t>
            </w:r>
          </w:p>
        </w:tc>
        <w:tc>
          <w:tcPr>
            <w:tcW w:w="2225" w:type="dxa"/>
          </w:tcPr>
          <w:p w14:paraId="4CE183B5">
            <w:pPr>
              <w:jc w:val="center"/>
              <w:rPr>
                <w:rFonts w:ascii="楷体" w:hAnsi="楷体" w:eastAsia="楷体" w:cs="楷体"/>
                <w:sz w:val="30"/>
                <w:szCs w:val="30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</w:rPr>
              <w:t>项目名称</w:t>
            </w:r>
          </w:p>
        </w:tc>
        <w:tc>
          <w:tcPr>
            <w:tcW w:w="2325" w:type="dxa"/>
          </w:tcPr>
          <w:p w14:paraId="79389C86">
            <w:pPr>
              <w:jc w:val="center"/>
              <w:rPr>
                <w:rFonts w:ascii="楷体" w:hAnsi="楷体" w:eastAsia="楷体" w:cs="楷体"/>
                <w:sz w:val="30"/>
                <w:szCs w:val="30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</w:rPr>
              <w:t>市场报价（万）</w:t>
            </w:r>
          </w:p>
        </w:tc>
        <w:tc>
          <w:tcPr>
            <w:tcW w:w="1217" w:type="dxa"/>
          </w:tcPr>
          <w:p w14:paraId="1640F722">
            <w:pPr>
              <w:jc w:val="center"/>
              <w:rPr>
                <w:rFonts w:ascii="楷体" w:hAnsi="楷体" w:eastAsia="楷体" w:cs="楷体"/>
                <w:sz w:val="30"/>
                <w:szCs w:val="30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</w:rPr>
              <w:t>单位</w:t>
            </w:r>
          </w:p>
        </w:tc>
        <w:tc>
          <w:tcPr>
            <w:tcW w:w="1203" w:type="dxa"/>
          </w:tcPr>
          <w:p w14:paraId="21D071A0">
            <w:pPr>
              <w:jc w:val="center"/>
              <w:rPr>
                <w:rFonts w:ascii="楷体" w:hAnsi="楷体" w:eastAsia="楷体" w:cs="楷体"/>
                <w:sz w:val="30"/>
                <w:szCs w:val="30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</w:rPr>
              <w:t>备注</w:t>
            </w:r>
          </w:p>
        </w:tc>
      </w:tr>
      <w:tr w14:paraId="3EBDC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9" w:type="dxa"/>
          </w:tcPr>
          <w:p w14:paraId="0FAA714A">
            <w:pPr>
              <w:jc w:val="center"/>
              <w:rPr>
                <w:rFonts w:ascii="楷体" w:hAnsi="楷体" w:eastAsia="楷体" w:cs="楷体"/>
                <w:sz w:val="30"/>
                <w:szCs w:val="30"/>
              </w:rPr>
            </w:pPr>
          </w:p>
        </w:tc>
        <w:tc>
          <w:tcPr>
            <w:tcW w:w="2225" w:type="dxa"/>
          </w:tcPr>
          <w:p w14:paraId="70A1FB05">
            <w:pPr>
              <w:jc w:val="center"/>
              <w:rPr>
                <w:rFonts w:ascii="楷体" w:hAnsi="楷体" w:eastAsia="楷体" w:cs="楷体"/>
                <w:sz w:val="30"/>
                <w:szCs w:val="30"/>
              </w:rPr>
            </w:pPr>
          </w:p>
        </w:tc>
        <w:tc>
          <w:tcPr>
            <w:tcW w:w="2325" w:type="dxa"/>
          </w:tcPr>
          <w:p w14:paraId="07DBF629">
            <w:pPr>
              <w:jc w:val="center"/>
              <w:rPr>
                <w:rFonts w:ascii="楷体" w:hAnsi="楷体" w:eastAsia="楷体" w:cs="楷体"/>
                <w:sz w:val="30"/>
                <w:szCs w:val="30"/>
              </w:rPr>
            </w:pPr>
          </w:p>
        </w:tc>
        <w:tc>
          <w:tcPr>
            <w:tcW w:w="1217" w:type="dxa"/>
          </w:tcPr>
          <w:p w14:paraId="4106DAF7">
            <w:pPr>
              <w:jc w:val="center"/>
              <w:rPr>
                <w:rFonts w:ascii="楷体" w:hAnsi="楷体" w:eastAsia="楷体" w:cs="楷体"/>
                <w:sz w:val="30"/>
                <w:szCs w:val="30"/>
              </w:rPr>
            </w:pPr>
          </w:p>
        </w:tc>
        <w:tc>
          <w:tcPr>
            <w:tcW w:w="1203" w:type="dxa"/>
          </w:tcPr>
          <w:p w14:paraId="2884D933">
            <w:pPr>
              <w:jc w:val="center"/>
              <w:rPr>
                <w:rFonts w:ascii="楷体" w:hAnsi="楷体" w:eastAsia="楷体" w:cs="楷体"/>
                <w:sz w:val="30"/>
                <w:szCs w:val="30"/>
              </w:rPr>
            </w:pPr>
          </w:p>
        </w:tc>
      </w:tr>
    </w:tbl>
    <w:p w14:paraId="439FF672">
      <w:pPr>
        <w:jc w:val="left"/>
        <w:rPr>
          <w:rFonts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（注：可根据实际情况，进行增减）</w:t>
      </w:r>
    </w:p>
    <w:p w14:paraId="61EBB26D">
      <w:pPr>
        <w:jc w:val="center"/>
        <w:rPr>
          <w:rFonts w:ascii="黑体" w:hAnsi="黑体" w:eastAsia="黑体" w:cs="黑体"/>
          <w:sz w:val="48"/>
          <w:szCs w:val="48"/>
        </w:rPr>
      </w:pPr>
    </w:p>
    <w:p w14:paraId="12546710">
      <w:pPr>
        <w:ind w:firstLine="4500" w:firstLineChars="1500"/>
        <w:jc w:val="left"/>
        <w:rPr>
          <w:rFonts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报价单位：</w:t>
      </w:r>
      <w:r>
        <w:rPr>
          <w:rFonts w:hint="eastAsia" w:ascii="楷体" w:hAnsi="楷体" w:eastAsia="楷体" w:cs="楷体"/>
          <w:sz w:val="30"/>
          <w:szCs w:val="30"/>
          <w:u w:val="single"/>
        </w:rPr>
        <w:t xml:space="preserve">            </w:t>
      </w:r>
    </w:p>
    <w:p w14:paraId="3B3BC1CA">
      <w:pPr>
        <w:jc w:val="left"/>
        <w:rPr>
          <w:rFonts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 xml:space="preserve">                              联 系 人：</w:t>
      </w:r>
      <w:r>
        <w:rPr>
          <w:rFonts w:hint="eastAsia" w:ascii="楷体" w:hAnsi="楷体" w:eastAsia="楷体" w:cs="楷体"/>
          <w:sz w:val="30"/>
          <w:szCs w:val="30"/>
          <w:u w:val="single"/>
        </w:rPr>
        <w:t xml:space="preserve">            </w:t>
      </w:r>
      <w:r>
        <w:rPr>
          <w:rFonts w:hint="eastAsia" w:ascii="楷体" w:hAnsi="楷体" w:eastAsia="楷体" w:cs="楷体"/>
          <w:sz w:val="30"/>
          <w:szCs w:val="30"/>
        </w:rPr>
        <w:t xml:space="preserve">   </w:t>
      </w:r>
    </w:p>
    <w:p w14:paraId="1D81BB66">
      <w:pPr>
        <w:ind w:firstLine="4500" w:firstLineChars="1500"/>
        <w:jc w:val="left"/>
        <w:rPr>
          <w:rFonts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联系电话：</w:t>
      </w:r>
      <w:r>
        <w:rPr>
          <w:rFonts w:hint="eastAsia" w:ascii="楷体" w:hAnsi="楷体" w:eastAsia="楷体" w:cs="楷体"/>
          <w:sz w:val="30"/>
          <w:szCs w:val="30"/>
          <w:u w:val="single"/>
        </w:rPr>
        <w:t xml:space="preserve">            </w:t>
      </w:r>
      <w:r>
        <w:rPr>
          <w:rFonts w:hint="eastAsia" w:ascii="楷体" w:hAnsi="楷体" w:eastAsia="楷体" w:cs="楷体"/>
          <w:sz w:val="30"/>
          <w:szCs w:val="30"/>
        </w:rPr>
        <w:t xml:space="preserve"> </w:t>
      </w:r>
    </w:p>
    <w:p w14:paraId="04576244">
      <w:pPr>
        <w:ind w:firstLine="4500" w:firstLineChars="1500"/>
        <w:jc w:val="left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0"/>
          <w:szCs w:val="30"/>
        </w:rPr>
        <w:t>报价日期：2026年X日X日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675D6"/>
    <w:rsid w:val="00033597"/>
    <w:rsid w:val="000466C2"/>
    <w:rsid w:val="00051369"/>
    <w:rsid w:val="000D35A8"/>
    <w:rsid w:val="00191F90"/>
    <w:rsid w:val="001E3B1D"/>
    <w:rsid w:val="002E0C20"/>
    <w:rsid w:val="003675D6"/>
    <w:rsid w:val="003A1AA9"/>
    <w:rsid w:val="003E0EDD"/>
    <w:rsid w:val="00415CA7"/>
    <w:rsid w:val="00495A59"/>
    <w:rsid w:val="004A7483"/>
    <w:rsid w:val="004B4857"/>
    <w:rsid w:val="00521015"/>
    <w:rsid w:val="005435EF"/>
    <w:rsid w:val="005479AE"/>
    <w:rsid w:val="005C12D5"/>
    <w:rsid w:val="00712517"/>
    <w:rsid w:val="00805B07"/>
    <w:rsid w:val="0081144F"/>
    <w:rsid w:val="00836A81"/>
    <w:rsid w:val="00870BA2"/>
    <w:rsid w:val="00925579"/>
    <w:rsid w:val="0095114D"/>
    <w:rsid w:val="00A36885"/>
    <w:rsid w:val="00B26564"/>
    <w:rsid w:val="00B953D4"/>
    <w:rsid w:val="00C4690B"/>
    <w:rsid w:val="00C52A0F"/>
    <w:rsid w:val="00D53F57"/>
    <w:rsid w:val="00DD1F8C"/>
    <w:rsid w:val="00E15FC6"/>
    <w:rsid w:val="00E81B0A"/>
    <w:rsid w:val="00EB6EBC"/>
    <w:rsid w:val="00ED4D6D"/>
    <w:rsid w:val="00F3441F"/>
    <w:rsid w:val="00F4080D"/>
    <w:rsid w:val="00F520D8"/>
    <w:rsid w:val="05452DFC"/>
    <w:rsid w:val="1A8B7BFC"/>
    <w:rsid w:val="215F7D83"/>
    <w:rsid w:val="246061CD"/>
    <w:rsid w:val="2B532195"/>
    <w:rsid w:val="2DB11966"/>
    <w:rsid w:val="2DD607A8"/>
    <w:rsid w:val="30311827"/>
    <w:rsid w:val="35855EE2"/>
    <w:rsid w:val="383733B0"/>
    <w:rsid w:val="3CC03974"/>
    <w:rsid w:val="3FA255B3"/>
    <w:rsid w:val="4BFC56D4"/>
    <w:rsid w:val="4DD5158A"/>
    <w:rsid w:val="594A6647"/>
    <w:rsid w:val="5A0F231A"/>
    <w:rsid w:val="5A1C3C1C"/>
    <w:rsid w:val="632B74E9"/>
    <w:rsid w:val="64110D2B"/>
    <w:rsid w:val="64BE00A4"/>
    <w:rsid w:val="6B9F679B"/>
    <w:rsid w:val="77A36141"/>
    <w:rsid w:val="7CA256DD"/>
    <w:rsid w:val="7D05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3"/>
    <w:unhideWhenUsed/>
    <w:qFormat/>
    <w:uiPriority w:val="1"/>
    <w:pPr>
      <w:spacing w:after="120"/>
    </w:pPr>
    <w:rPr>
      <w:rFonts w:ascii="Times New Roman" w:hAnsi="Times New Roman" w:eastAsia="宋体" w:cs="Times New Roman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Char"/>
    <w:basedOn w:val="8"/>
    <w:link w:val="5"/>
    <w:semiHidden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正文文本 Char"/>
    <w:basedOn w:val="8"/>
    <w:link w:val="2"/>
    <w:qFormat/>
    <w:uiPriority w:val="1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1090</Words>
  <Characters>1106</Characters>
  <Lines>20</Lines>
  <Paragraphs>5</Paragraphs>
  <TotalTime>0</TotalTime>
  <ScaleCrop>false</ScaleCrop>
  <LinksUpToDate>false</LinksUpToDate>
  <CharactersWithSpaces>1260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2026-10-04T06:54:00Z</dcterms:created>
  <dc:creator>ASUS</dc:creator>
  <cp:lastModifiedBy>一米阳光</cp:lastModifiedBy>
  <dcterms:modified xsi:type="dcterms:W3CDTF">2026-10-08T07:23:43Z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eyJoZGlkIjoiNDQ0YmVkYWYxYzU2ODQzMGExN2M1ZDk2MTBkNjY5N2IiLCJ1c2VySWQiOiI1NjY4NTc3ODgifQ==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5BF63B00E72C4CBEAA9A99E1A3DB6375_12</vt:lpwstr>
  </property>
</Properties>
</file>